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47C4" w14:textId="77777777" w:rsidR="002F3E85" w:rsidRPr="00F444D3" w:rsidRDefault="002F3E85" w:rsidP="002F3E85">
      <w:pPr>
        <w:spacing w:before="600" w:after="60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Program Praktyk</w:t>
      </w:r>
      <w:r w:rsidRPr="00F444D3">
        <w:br/>
      </w:r>
      <w:r w:rsidRPr="00F444D3">
        <w:rPr>
          <w:rFonts w:ascii="Arial" w:eastAsia="Arial" w:hAnsi="Arial" w:cs="Arial"/>
          <w:b/>
          <w:bCs/>
        </w:rPr>
        <w:t>dla kierunku „</w:t>
      </w:r>
      <w:r w:rsidRPr="00F444D3">
        <w:rPr>
          <w:rFonts w:ascii="Arial" w:eastAsia="Arial" w:hAnsi="Arial" w:cs="Arial"/>
          <w:b/>
          <w:bCs/>
          <w:i/>
          <w:iCs/>
        </w:rPr>
        <w:t>Prawo europejskie</w:t>
      </w:r>
      <w:r w:rsidRPr="00F444D3">
        <w:rPr>
          <w:rFonts w:ascii="Arial" w:eastAsia="Arial" w:hAnsi="Arial" w:cs="Arial"/>
          <w:b/>
          <w:bCs/>
        </w:rPr>
        <w:t>”</w:t>
      </w:r>
    </w:p>
    <w:p w14:paraId="026BE7B9" w14:textId="77777777" w:rsidR="002F3E85" w:rsidRPr="00F444D3" w:rsidRDefault="002F3E85" w:rsidP="002F3E85">
      <w:pPr>
        <w:tabs>
          <w:tab w:val="left" w:pos="426"/>
        </w:tabs>
        <w:spacing w:after="0" w:line="276" w:lineRule="auto"/>
        <w:ind w:left="426" w:hanging="426"/>
        <w:jc w:val="both"/>
      </w:pPr>
      <w:r w:rsidRPr="00F444D3">
        <w:rPr>
          <w:rFonts w:ascii="Arial" w:eastAsia="Arial" w:hAnsi="Arial" w:cs="Arial"/>
        </w:rPr>
        <w:t>1.</w:t>
      </w:r>
      <w:r w:rsidRPr="00F444D3">
        <w:rPr>
          <w:rFonts w:ascii="Arial" w:eastAsia="Arial" w:hAnsi="Arial" w:cs="Arial"/>
        </w:rPr>
        <w:tab/>
        <w:t>Program praktyk obejmuje:</w:t>
      </w:r>
    </w:p>
    <w:p w14:paraId="00A55C8F" w14:textId="77777777" w:rsidR="002F3E85" w:rsidRPr="00F444D3" w:rsidRDefault="002F3E85" w:rsidP="002F3E85">
      <w:pPr>
        <w:pStyle w:val="Akapitzlist"/>
        <w:tabs>
          <w:tab w:val="left" w:pos="851"/>
        </w:tabs>
        <w:spacing w:before="120" w:after="0" w:line="276" w:lineRule="auto"/>
        <w:ind w:left="851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1)</w:t>
      </w:r>
      <w:r w:rsidRPr="00F444D3">
        <w:rPr>
          <w:rFonts w:ascii="Arial" w:eastAsia="Arial" w:hAnsi="Arial" w:cs="Arial"/>
        </w:rPr>
        <w:tab/>
        <w:t>zapoznanie się ze strukturą oraz podstawowymi dokumentami regulującymi zasady funkcjonowania instytucji przyjmującej na praktykę (statut, regulamin organizacyjny, instrukcja kancelaryjna itd.);</w:t>
      </w:r>
    </w:p>
    <w:p w14:paraId="62DC7DD7" w14:textId="77777777" w:rsidR="002F3E85" w:rsidRPr="00F444D3" w:rsidRDefault="002F3E85" w:rsidP="002F3E85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2)</w:t>
      </w:r>
      <w:r w:rsidRPr="00F444D3">
        <w:rPr>
          <w:rFonts w:ascii="Arial" w:eastAsia="Arial" w:hAnsi="Arial" w:cs="Arial"/>
        </w:rPr>
        <w:tab/>
        <w:t>zapoznanie się ze strukturą zatrudnienia i prowadzeniem spraw kadrowych;</w:t>
      </w:r>
    </w:p>
    <w:p w14:paraId="3FD4922B" w14:textId="77777777" w:rsidR="002F3E85" w:rsidRPr="00F444D3" w:rsidRDefault="002F3E85" w:rsidP="002F3E85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3)</w:t>
      </w:r>
      <w:r w:rsidRPr="00F444D3">
        <w:rPr>
          <w:rFonts w:ascii="Arial" w:eastAsia="Arial" w:hAnsi="Arial" w:cs="Arial"/>
        </w:rPr>
        <w:tab/>
        <w:t>zapoznanie się z organizacją sekretariatu, z obiegiem korespondencji, jej klasyfikacją i przechowywaniem, przekazywaniem akt do archiwum, postępowaniem z aktami poufnymi i tajnymi (stosownie do wewnętrznych przepisów dotyczących niejawności pewnych obszarów działalności instytucji);</w:t>
      </w:r>
    </w:p>
    <w:p w14:paraId="58F84606" w14:textId="77777777" w:rsidR="002F3E85" w:rsidRPr="00F444D3" w:rsidRDefault="002F3E85" w:rsidP="002F3E85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4)</w:t>
      </w:r>
      <w:r w:rsidRPr="00F444D3">
        <w:rPr>
          <w:rFonts w:ascii="Arial" w:eastAsia="Arial" w:hAnsi="Arial" w:cs="Arial"/>
        </w:rPr>
        <w:tab/>
        <w:t>nabycie umiejętności wykonywania czynności administracyjno-biurowych w ramach działalności instytucji przyjmującej w zakresie prowadzenia podstawowych zadań merytorycznych:</w:t>
      </w:r>
    </w:p>
    <w:p w14:paraId="47A33C2E" w14:textId="77777777" w:rsidR="002F3E85" w:rsidRPr="00F444D3" w:rsidRDefault="002F3E85" w:rsidP="002F3E85">
      <w:pPr>
        <w:tabs>
          <w:tab w:val="left" w:pos="1276"/>
        </w:tabs>
        <w:spacing w:before="120" w:after="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a)</w:t>
      </w:r>
      <w:r w:rsidRPr="00F444D3">
        <w:rPr>
          <w:rFonts w:ascii="Arial" w:eastAsia="Arial" w:hAnsi="Arial" w:cs="Arial"/>
          <w:color w:val="000000" w:themeColor="text1"/>
        </w:rPr>
        <w:tab/>
        <w:t>przyjmowanie i rejestracja dokumentów,</w:t>
      </w:r>
    </w:p>
    <w:p w14:paraId="5C488F0B" w14:textId="77777777" w:rsidR="002F3E85" w:rsidRPr="00F444D3" w:rsidRDefault="002F3E85" w:rsidP="002F3E85">
      <w:pPr>
        <w:tabs>
          <w:tab w:val="left" w:pos="1276"/>
        </w:tabs>
        <w:spacing w:after="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b)</w:t>
      </w:r>
      <w:r w:rsidRPr="00F444D3">
        <w:rPr>
          <w:rFonts w:ascii="Arial" w:eastAsia="Arial" w:hAnsi="Arial" w:cs="Arial"/>
          <w:color w:val="000000" w:themeColor="text1"/>
        </w:rPr>
        <w:tab/>
        <w:t>przygotowywanie korespondencji,</w:t>
      </w:r>
    </w:p>
    <w:p w14:paraId="66A48D22" w14:textId="77777777" w:rsidR="002F3E85" w:rsidRPr="00F444D3" w:rsidRDefault="002F3E85" w:rsidP="002F3E85">
      <w:pPr>
        <w:tabs>
          <w:tab w:val="left" w:pos="1276"/>
        </w:tabs>
        <w:spacing w:after="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c)</w:t>
      </w:r>
      <w:r w:rsidRPr="00F444D3">
        <w:rPr>
          <w:rFonts w:ascii="Arial" w:eastAsia="Arial" w:hAnsi="Arial" w:cs="Arial"/>
          <w:color w:val="000000" w:themeColor="text1"/>
        </w:rPr>
        <w:tab/>
        <w:t>przygotowywanie pism, raportów, opracowań na potrzeby instytucji przyjmującej,</w:t>
      </w:r>
    </w:p>
    <w:p w14:paraId="51C74005" w14:textId="77777777" w:rsidR="002F3E85" w:rsidRPr="00F444D3" w:rsidRDefault="002F3E85" w:rsidP="002F3E85">
      <w:pPr>
        <w:tabs>
          <w:tab w:val="left" w:pos="1276"/>
        </w:tabs>
        <w:spacing w:after="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d)</w:t>
      </w:r>
      <w:r w:rsidRPr="00F444D3">
        <w:rPr>
          <w:rFonts w:ascii="Arial" w:eastAsia="Arial" w:hAnsi="Arial" w:cs="Arial"/>
          <w:color w:val="000000" w:themeColor="text1"/>
        </w:rPr>
        <w:tab/>
        <w:t>tłumaczenie dokumentów urzędowych na język polski lub z języka polskiego na język obcy,</w:t>
      </w:r>
    </w:p>
    <w:p w14:paraId="63EFE485" w14:textId="77777777" w:rsidR="002F3E85" w:rsidRPr="00F444D3" w:rsidRDefault="002F3E85" w:rsidP="002F3E85">
      <w:pPr>
        <w:tabs>
          <w:tab w:val="left" w:pos="1276"/>
        </w:tabs>
        <w:spacing w:after="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e)</w:t>
      </w:r>
      <w:r w:rsidRPr="00F444D3">
        <w:rPr>
          <w:rFonts w:ascii="Arial" w:eastAsia="Arial" w:hAnsi="Arial" w:cs="Arial"/>
          <w:color w:val="000000" w:themeColor="text1"/>
        </w:rPr>
        <w:tab/>
        <w:t>udział w spotkaniach, w ramach których prowadzone są konsultacje lub negocjacje,</w:t>
      </w:r>
    </w:p>
    <w:p w14:paraId="051EA0F4" w14:textId="77777777" w:rsidR="002F3E85" w:rsidRPr="00F444D3" w:rsidRDefault="002F3E85" w:rsidP="002F3E85">
      <w:pPr>
        <w:tabs>
          <w:tab w:val="left" w:pos="1276"/>
        </w:tabs>
        <w:spacing w:after="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f)</w:t>
      </w:r>
      <w:r w:rsidRPr="00F444D3">
        <w:rPr>
          <w:rFonts w:ascii="Arial" w:eastAsia="Arial" w:hAnsi="Arial" w:cs="Arial"/>
          <w:color w:val="000000" w:themeColor="text1"/>
        </w:rPr>
        <w:tab/>
        <w:t>udział w posiedzeniach, w ramach których wykonywane są czynności z zakresu szeroko pojętej sprawozdawczości,</w:t>
      </w:r>
    </w:p>
    <w:p w14:paraId="031173EE" w14:textId="77777777" w:rsidR="002F3E85" w:rsidRPr="00F444D3" w:rsidRDefault="002F3E85" w:rsidP="002F3E85">
      <w:pPr>
        <w:tabs>
          <w:tab w:val="left" w:pos="1276"/>
        </w:tabs>
        <w:spacing w:after="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g)</w:t>
      </w:r>
      <w:r w:rsidRPr="00F444D3">
        <w:rPr>
          <w:rFonts w:ascii="Arial" w:eastAsia="Arial" w:hAnsi="Arial" w:cs="Arial"/>
          <w:color w:val="000000" w:themeColor="text1"/>
        </w:rPr>
        <w:tab/>
        <w:t>udział w organizacji spotkań lub wydarzeń kulturalnych,</w:t>
      </w:r>
    </w:p>
    <w:p w14:paraId="4F992948" w14:textId="77777777" w:rsidR="002F3E85" w:rsidRPr="00F444D3" w:rsidRDefault="002F3E85" w:rsidP="002F3E85">
      <w:pPr>
        <w:tabs>
          <w:tab w:val="left" w:pos="1276"/>
        </w:tabs>
        <w:spacing w:after="120" w:line="276" w:lineRule="auto"/>
        <w:ind w:left="1276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h)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zapoznanie się z informacjami dotyczącymi funduszy UE dla poszczególnych podmiotów;</w:t>
      </w:r>
    </w:p>
    <w:p w14:paraId="41D1955C" w14:textId="77777777" w:rsidR="002F3E85" w:rsidRPr="00F444D3" w:rsidRDefault="002F3E85" w:rsidP="002F3E85">
      <w:pPr>
        <w:pStyle w:val="Akapitzlist"/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2.</w:t>
      </w:r>
      <w:r w:rsidRPr="00F444D3">
        <w:rPr>
          <w:rFonts w:ascii="Arial" w:eastAsia="Arial" w:hAnsi="Arial" w:cs="Arial"/>
        </w:rPr>
        <w:tab/>
        <w:t>W ramach możliwości program praktyki powinien obejmować również nabycie umiejętności z zakresu wiedzy teoretycznej o funduszach Unii Europejskiej, w tym w szczególności:</w:t>
      </w:r>
    </w:p>
    <w:p w14:paraId="205BD1FA" w14:textId="77777777" w:rsidR="002F3E85" w:rsidRPr="00F444D3" w:rsidRDefault="002F3E85" w:rsidP="002F3E85">
      <w:pPr>
        <w:tabs>
          <w:tab w:val="left" w:pos="851"/>
        </w:tabs>
        <w:spacing w:before="120" w:after="0" w:line="276" w:lineRule="auto"/>
        <w:ind w:left="850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1)</w:t>
      </w:r>
      <w:r w:rsidRPr="00F444D3">
        <w:rPr>
          <w:rFonts w:ascii="Arial" w:eastAsia="Arial" w:hAnsi="Arial" w:cs="Arial"/>
          <w:color w:val="000000" w:themeColor="text1"/>
        </w:rPr>
        <w:tab/>
        <w:t>zapoznanie się z zasadami korzystania ze środków unijnych (fundusz strukturalny i spójności);</w:t>
      </w:r>
    </w:p>
    <w:p w14:paraId="7D931857" w14:textId="77777777" w:rsidR="002F3E85" w:rsidRPr="00F444D3" w:rsidRDefault="002F3E85" w:rsidP="002F3E85">
      <w:pPr>
        <w:tabs>
          <w:tab w:val="left" w:pos="851"/>
        </w:tabs>
        <w:spacing w:after="0" w:line="276" w:lineRule="auto"/>
        <w:ind w:left="85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2)</w:t>
      </w:r>
      <w:r w:rsidRPr="00F444D3">
        <w:rPr>
          <w:rFonts w:ascii="Arial" w:eastAsia="Arial" w:hAnsi="Arial" w:cs="Arial"/>
          <w:color w:val="000000" w:themeColor="text1"/>
        </w:rPr>
        <w:tab/>
        <w:t>zapoznanie się z organizacją pracy na stanowisku osoby zajmującej się projektami realizowanymi ze środków unijnych (dokumentacją potrzebną do pracy, generatorem wniosków aplikacyjnych, rolą kierownika projektu);</w:t>
      </w:r>
    </w:p>
    <w:p w14:paraId="0F19CE79" w14:textId="77777777" w:rsidR="002F3E85" w:rsidRPr="00F444D3" w:rsidRDefault="002F3E85" w:rsidP="002F3E85">
      <w:pPr>
        <w:tabs>
          <w:tab w:val="left" w:pos="851"/>
        </w:tabs>
        <w:spacing w:after="0" w:line="276" w:lineRule="auto"/>
        <w:ind w:left="85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3)</w:t>
      </w:r>
      <w:r w:rsidRPr="00F444D3">
        <w:rPr>
          <w:rFonts w:ascii="Arial" w:eastAsia="Arial" w:hAnsi="Arial" w:cs="Arial"/>
          <w:color w:val="000000" w:themeColor="text1"/>
        </w:rPr>
        <w:tab/>
        <w:t>zapoznanie się z procedurami aplikacyjnymi, oraz zasadami przygotowania i zarządzania projektami realizowanymi ze środków funduszy UE.</w:t>
      </w:r>
    </w:p>
    <w:p w14:paraId="6C12BE03" w14:textId="77777777" w:rsidR="002F3E85" w:rsidRPr="00F444D3" w:rsidRDefault="002F3E85" w:rsidP="002F3E85">
      <w:pPr>
        <w:spacing w:after="0" w:line="276" w:lineRule="auto"/>
      </w:pPr>
    </w:p>
    <w:p w14:paraId="64231E42" w14:textId="77777777" w:rsidR="00BB0380" w:rsidRDefault="00BB0380"/>
    <w:sectPr w:rsidR="00BB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85"/>
    <w:rsid w:val="001E7B9D"/>
    <w:rsid w:val="002F3E85"/>
    <w:rsid w:val="007C1DA6"/>
    <w:rsid w:val="00B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4D26"/>
  <w15:chartTrackingRefBased/>
  <w15:docId w15:val="{DA4940C1-025E-40EE-B692-37171D0C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E8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Zwierzykowski</dc:creator>
  <cp:keywords/>
  <dc:description/>
  <cp:lastModifiedBy>Piotr Zwierzykowski</cp:lastModifiedBy>
  <cp:revision>1</cp:revision>
  <dcterms:created xsi:type="dcterms:W3CDTF">2023-10-06T09:14:00Z</dcterms:created>
  <dcterms:modified xsi:type="dcterms:W3CDTF">2023-10-06T09:14:00Z</dcterms:modified>
</cp:coreProperties>
</file>