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521" w14:textId="77777777" w:rsidR="00110964" w:rsidRPr="00F444D3" w:rsidRDefault="00110964" w:rsidP="00110964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Załącznik nr 2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6F7EC5B5" w14:textId="77777777" w:rsidR="00110964" w:rsidRPr="00F444D3" w:rsidRDefault="00110964" w:rsidP="00110964">
      <w:pPr>
        <w:tabs>
          <w:tab w:val="left" w:pos="20"/>
        </w:tabs>
        <w:spacing w:before="480" w:after="48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Prawo</w:t>
      </w:r>
      <w:r w:rsidRPr="00F444D3">
        <w:rPr>
          <w:rFonts w:ascii="Arial" w:eastAsia="Arial" w:hAnsi="Arial" w:cs="Arial"/>
          <w:b/>
          <w:bCs/>
        </w:rPr>
        <w:t>”</w:t>
      </w:r>
    </w:p>
    <w:p w14:paraId="6D739EF9" w14:textId="77777777" w:rsidR="00110964" w:rsidRPr="00F444D3" w:rsidRDefault="00110964" w:rsidP="0011096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Program praktyki jest realizowany w dwóch zakresach, związanych z właściwościami działalności instytucji, w której student odbywa praktykę:</w:t>
      </w:r>
    </w:p>
    <w:p w14:paraId="07A697CB" w14:textId="77777777" w:rsidR="00110964" w:rsidRPr="00F444D3" w:rsidRDefault="00110964" w:rsidP="00110964">
      <w:pPr>
        <w:pStyle w:val="Akapitzlist"/>
        <w:tabs>
          <w:tab w:val="left" w:pos="851"/>
        </w:tabs>
        <w:spacing w:before="120"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 xml:space="preserve">w zakresie </w:t>
      </w:r>
      <w:r w:rsidRPr="00F444D3">
        <w:rPr>
          <w:rFonts w:ascii="Arial" w:eastAsia="Arial" w:hAnsi="Arial" w:cs="Arial"/>
          <w:b/>
          <w:bCs/>
        </w:rPr>
        <w:t>organizacji</w:t>
      </w:r>
      <w:r w:rsidRPr="00F444D3">
        <w:rPr>
          <w:rFonts w:ascii="Arial" w:eastAsia="Arial" w:hAnsi="Arial" w:cs="Arial"/>
        </w:rPr>
        <w:t xml:space="preserve"> student powinien:</w:t>
      </w:r>
    </w:p>
    <w:p w14:paraId="1D19F86D" w14:textId="77777777" w:rsidR="00110964" w:rsidRPr="00F444D3" w:rsidRDefault="00110964" w:rsidP="00110964">
      <w:pPr>
        <w:pStyle w:val="Akapitzlist"/>
        <w:tabs>
          <w:tab w:val="left" w:pos="1276"/>
        </w:tabs>
        <w:spacing w:before="120"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zapoznać się ze strukturą organizacyjną instytucji, w której odbywana jest praktyka oraz z zakresem działania wskazanej jednostki organizacyjnej instytucji,</w:t>
      </w:r>
    </w:p>
    <w:p w14:paraId="085C317D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zapoznać się z przepisami regulującymi działanie instytucji, gdzie odbywana jest praktyka,</w:t>
      </w:r>
    </w:p>
    <w:p w14:paraId="53E32B40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zapoznać się zasadami przepływu informacji i dokumentacji,</w:t>
      </w:r>
    </w:p>
    <w:p w14:paraId="4CFF21D9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uczestniczyć w powierzonych czynnościach techniczno-organizacyjnych instytucji, gdzie odbywana jest praktyka,</w:t>
      </w:r>
    </w:p>
    <w:p w14:paraId="72C25560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wykonywać inne powierzone zadania techniczno-organizacyjne, uznane przez osoby bezpośrednio nadzorujące przebieg praktyki za istotne, z punktu widzenia specyfiki działalności instytucji, w której student odbywa praktykę oraz kierunku studiów;</w:t>
      </w:r>
    </w:p>
    <w:p w14:paraId="24523206" w14:textId="77777777" w:rsidR="00110964" w:rsidRPr="00F444D3" w:rsidRDefault="00110964" w:rsidP="00110964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 xml:space="preserve">w zakresie </w:t>
      </w:r>
      <w:r w:rsidRPr="00F444D3">
        <w:rPr>
          <w:rFonts w:ascii="Arial" w:eastAsia="Arial" w:hAnsi="Arial" w:cs="Arial"/>
          <w:b/>
          <w:bCs/>
        </w:rPr>
        <w:t>merytorycznym</w:t>
      </w:r>
      <w:r w:rsidRPr="00F444D3">
        <w:rPr>
          <w:rFonts w:ascii="Arial" w:eastAsia="Arial" w:hAnsi="Arial" w:cs="Arial"/>
        </w:rPr>
        <w:t xml:space="preserve"> student powinien:</w:t>
      </w:r>
    </w:p>
    <w:p w14:paraId="0055C442" w14:textId="77777777" w:rsidR="00110964" w:rsidRPr="00F444D3" w:rsidRDefault="00110964" w:rsidP="00110964">
      <w:pPr>
        <w:pStyle w:val="Akapitzlist"/>
        <w:tabs>
          <w:tab w:val="left" w:pos="1276"/>
        </w:tabs>
        <w:spacing w:before="120"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zapoznać się z przedmiotem działania instytucji, w której odbywa praktykę, a w szczególności z przedmiotem działania wskazanej jednostki organizacyjnej instytucji,</w:t>
      </w:r>
    </w:p>
    <w:p w14:paraId="7556D4AA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poznać praktyczne zastosowanie przepisów stanowiących podstawę podejmowanych w instytucji czynności,</w:t>
      </w:r>
    </w:p>
    <w:p w14:paraId="1F2982E9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przygotowywać projekty pism i rozstrzygnięć w ramach postępowań prowadzonych w instytucji, w której odbywana jest praktyka, pod kierunkiem osób bezpośrednio nadzorujących przebieg praktyki,</w:t>
      </w:r>
    </w:p>
    <w:p w14:paraId="168FDDF8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zapoznać się z metodyką czynności, podejmowanych przez instytucję, w której odbywa się praktyka,</w:t>
      </w:r>
    </w:p>
    <w:p w14:paraId="284324D9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zapoznać się ze specyfiką czynności podejmowanych przez strony postępowania i organ, przed którym się ono toczy, a w miarę możliwości - uczestniczyć w   rozprawach i innych merytorycznych postępowaniach podejmowanych w instytucji, w której odbywana jest praktyka,</w:t>
      </w:r>
    </w:p>
    <w:p w14:paraId="32E963B0" w14:textId="77777777" w:rsidR="00110964" w:rsidRPr="00F444D3" w:rsidRDefault="00110964" w:rsidP="00110964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f)</w:t>
      </w:r>
      <w:r w:rsidRPr="00F444D3">
        <w:rPr>
          <w:rFonts w:ascii="Arial" w:eastAsia="Arial" w:hAnsi="Arial" w:cs="Arial"/>
        </w:rPr>
        <w:tab/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3EA21C06" w14:textId="77777777" w:rsidR="00110964" w:rsidRPr="00F444D3" w:rsidRDefault="00110964" w:rsidP="00110964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426" w:hanging="426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W szczególności, realizacja programu praktyki odbywa się poprzez wykonywanie przez studenta następujących czynności:</w:t>
      </w:r>
    </w:p>
    <w:p w14:paraId="6C19D7C9" w14:textId="77777777" w:rsidR="00110964" w:rsidRPr="00F444D3" w:rsidRDefault="00110964" w:rsidP="00110964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w sądach rejonowych oraz w innych sądach:</w:t>
      </w:r>
    </w:p>
    <w:p w14:paraId="36783068" w14:textId="77777777" w:rsidR="00110964" w:rsidRPr="00F444D3" w:rsidRDefault="00110964" w:rsidP="00110964">
      <w:pPr>
        <w:tabs>
          <w:tab w:val="left" w:pos="1276"/>
        </w:tabs>
        <w:spacing w:before="120"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protokołowanie,</w:t>
      </w:r>
    </w:p>
    <w:p w14:paraId="3BE5DF52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obsługa sekretariatu sądu,</w:t>
      </w:r>
    </w:p>
    <w:p w14:paraId="7CB528F3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orzeczeń i uzasadnień orzeczeń,</w:t>
      </w:r>
    </w:p>
    <w:p w14:paraId="4CF0DC27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pism sądowych,</w:t>
      </w:r>
    </w:p>
    <w:p w14:paraId="4F3A90F8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archiwizacja akt sądowych,</w:t>
      </w:r>
    </w:p>
    <w:p w14:paraId="14D85AE7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f)</w:t>
      </w:r>
      <w:r w:rsidRPr="00F444D3">
        <w:rPr>
          <w:rFonts w:ascii="Arial" w:eastAsia="Arial" w:hAnsi="Arial" w:cs="Arial"/>
          <w:color w:val="000000" w:themeColor="text1"/>
        </w:rPr>
        <w:tab/>
        <w:t>prowadzenie rejestru spraw sądowych,</w:t>
      </w:r>
    </w:p>
    <w:p w14:paraId="4B241D78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g)</w:t>
      </w:r>
      <w:r w:rsidRPr="00F444D3">
        <w:rPr>
          <w:rFonts w:ascii="Arial" w:hAnsi="Arial" w:cs="Arial"/>
        </w:rPr>
        <w:tab/>
      </w:r>
      <w:r w:rsidRPr="00F444D3">
        <w:rPr>
          <w:rFonts w:ascii="Arial" w:eastAsia="Arial" w:hAnsi="Arial" w:cs="Arial"/>
          <w:color w:val="000000" w:themeColor="text1"/>
        </w:rPr>
        <w:t>uczestnictwo w rozprawach sądowych i przy innych czynnościach sądu;</w:t>
      </w:r>
    </w:p>
    <w:p w14:paraId="438B5E5C" w14:textId="77777777" w:rsidR="00110964" w:rsidRPr="00F444D3" w:rsidRDefault="00110964" w:rsidP="00110964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  <w:sectPr w:rsidR="00110964" w:rsidRPr="00F444D3" w:rsidSect="00C833C9">
          <w:pgSz w:w="11906" w:h="16838"/>
          <w:pgMar w:top="680" w:right="1418" w:bottom="680" w:left="1418" w:header="709" w:footer="709" w:gutter="0"/>
          <w:cols w:space="708"/>
          <w:docGrid w:linePitch="360"/>
        </w:sectPr>
      </w:pPr>
    </w:p>
    <w:p w14:paraId="54AFBA20" w14:textId="77777777" w:rsidR="00110964" w:rsidRPr="00F444D3" w:rsidRDefault="00110964" w:rsidP="00110964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lastRenderedPageBreak/>
        <w:t>2)</w:t>
      </w:r>
      <w:r w:rsidRPr="00F444D3">
        <w:rPr>
          <w:rFonts w:ascii="Arial" w:eastAsia="Arial" w:hAnsi="Arial" w:cs="Arial"/>
        </w:rPr>
        <w:tab/>
        <w:t>w pozostałych podmiotach:</w:t>
      </w:r>
    </w:p>
    <w:p w14:paraId="74843B22" w14:textId="77777777" w:rsidR="00110964" w:rsidRPr="00F444D3" w:rsidRDefault="00110964" w:rsidP="00110964">
      <w:pPr>
        <w:tabs>
          <w:tab w:val="left" w:pos="1276"/>
        </w:tabs>
        <w:spacing w:before="120"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analiza spraw prawnych prowadzonych przez dany podmiot,</w:t>
      </w:r>
    </w:p>
    <w:p w14:paraId="0FDD7B92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pism procesowych,</w:t>
      </w:r>
    </w:p>
    <w:p w14:paraId="3EDA3906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opinii prawnych,</w:t>
      </w:r>
    </w:p>
    <w:p w14:paraId="54CA82BB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analiza stanowiska orzecznictwa i doktryny pod kątem spraw prawnych prowadzonych przez dany podmiot,</w:t>
      </w:r>
    </w:p>
    <w:p w14:paraId="78061AD2" w14:textId="77777777" w:rsidR="00110964" w:rsidRPr="00F444D3" w:rsidRDefault="00110964" w:rsidP="00110964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uczestnictwo w rozprawach sądowych i innych postępowaniach procesowych z uczestnictwem podmiotu, na rzecz którego student odbywa praktykę.</w:t>
      </w:r>
    </w:p>
    <w:p w14:paraId="5F13D19F" w14:textId="77777777" w:rsidR="00BB0380" w:rsidRDefault="00BB0380"/>
    <w:sectPr w:rsidR="00BB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BD8F"/>
    <w:multiLevelType w:val="hybridMultilevel"/>
    <w:tmpl w:val="8AA43628"/>
    <w:lvl w:ilvl="0" w:tplc="F8E6491E">
      <w:start w:val="1"/>
      <w:numFmt w:val="decimal"/>
      <w:lvlText w:val="%1."/>
      <w:lvlJc w:val="left"/>
      <w:pPr>
        <w:ind w:left="720" w:hanging="360"/>
      </w:pPr>
    </w:lvl>
    <w:lvl w:ilvl="1" w:tplc="720A51F4">
      <w:start w:val="1"/>
      <w:numFmt w:val="lowerLetter"/>
      <w:lvlText w:val="%2."/>
      <w:lvlJc w:val="left"/>
      <w:pPr>
        <w:ind w:left="1440" w:hanging="360"/>
      </w:pPr>
    </w:lvl>
    <w:lvl w:ilvl="2" w:tplc="53DCBA16">
      <w:start w:val="1"/>
      <w:numFmt w:val="lowerRoman"/>
      <w:lvlText w:val="%3."/>
      <w:lvlJc w:val="right"/>
      <w:pPr>
        <w:ind w:left="2160" w:hanging="180"/>
      </w:pPr>
    </w:lvl>
    <w:lvl w:ilvl="3" w:tplc="628ADDF2">
      <w:start w:val="1"/>
      <w:numFmt w:val="decimal"/>
      <w:lvlText w:val="%4."/>
      <w:lvlJc w:val="left"/>
      <w:pPr>
        <w:ind w:left="2880" w:hanging="360"/>
      </w:pPr>
    </w:lvl>
    <w:lvl w:ilvl="4" w:tplc="488EF766">
      <w:start w:val="1"/>
      <w:numFmt w:val="lowerLetter"/>
      <w:lvlText w:val="%5."/>
      <w:lvlJc w:val="left"/>
      <w:pPr>
        <w:ind w:left="3600" w:hanging="360"/>
      </w:pPr>
    </w:lvl>
    <w:lvl w:ilvl="5" w:tplc="8D8CA77A">
      <w:start w:val="1"/>
      <w:numFmt w:val="lowerRoman"/>
      <w:lvlText w:val="%6."/>
      <w:lvlJc w:val="right"/>
      <w:pPr>
        <w:ind w:left="4320" w:hanging="180"/>
      </w:pPr>
    </w:lvl>
    <w:lvl w:ilvl="6" w:tplc="69182904">
      <w:start w:val="1"/>
      <w:numFmt w:val="decimal"/>
      <w:lvlText w:val="%7."/>
      <w:lvlJc w:val="left"/>
      <w:pPr>
        <w:ind w:left="5040" w:hanging="360"/>
      </w:pPr>
    </w:lvl>
    <w:lvl w:ilvl="7" w:tplc="C24EE6CA">
      <w:start w:val="1"/>
      <w:numFmt w:val="lowerLetter"/>
      <w:lvlText w:val="%8."/>
      <w:lvlJc w:val="left"/>
      <w:pPr>
        <w:ind w:left="5760" w:hanging="360"/>
      </w:pPr>
    </w:lvl>
    <w:lvl w:ilvl="8" w:tplc="66985DEE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4"/>
    <w:rsid w:val="00110964"/>
    <w:rsid w:val="001E7B9D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E54"/>
  <w15:chartTrackingRefBased/>
  <w15:docId w15:val="{7C1FA139-DB93-420E-9D0D-361161F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9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2023-10-06T09:13:00Z</dcterms:created>
  <dcterms:modified xsi:type="dcterms:W3CDTF">2023-10-06T09:14:00Z</dcterms:modified>
</cp:coreProperties>
</file>